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tabs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  <w:tab w:leader="none" w:pos="14400" w:val="left"/>
        </w:tabs>
        <w:ind w:firstLine="698" w:left="0" w:right="0"/>
      </w:pPr>
      <w:r>
        <w:rPr>
          <w:color w:val="26282F"/>
          <w:sz w:val="24"/>
          <w:b/>
          <w:bCs/>
        </w:rPr>
        <w:t>Приложение N 2</w:t>
        <w:br/>
        <w:t xml:space="preserve">к </w:t>
      </w:r>
      <w:r>
        <w:rPr>
          <w:rStyle w:val="style15"/>
          <w:color w:val="106BBE"/>
          <w:sz w:val="24"/>
          <w:b w:val="off"/>
          <w:bCs w:val="off"/>
        </w:rPr>
        <w:t>стандартам</w:t>
      </w:r>
      <w:r>
        <w:rPr>
          <w:color w:val="26282F"/>
          <w:sz w:val="24"/>
          <w:b/>
          <w:bCs/>
        </w:rPr>
        <w:t xml:space="preserve"> раскрытия информации</w:t>
        <w:br/>
        <w:t>субъектами оптового и розничных</w:t>
        <w:br/>
        <w:t>рынков электрической энергии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(форма)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 xml:space="preserve">                           </w:t>
      </w: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>ПРОГНОЗНЫЕ СВЕДЕНИЯ</w:t>
      </w:r>
    </w:p>
    <w:p>
      <w:pPr>
        <w:pStyle w:val="style0"/>
      </w:pP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 xml:space="preserve">                </w:t>
      </w: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>о расходах за технологическое присоединение</w:t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            </w:t>
      </w:r>
      <w:r>
        <w:rPr>
          <w:sz w:val="22"/>
          <w:szCs w:val="22"/>
          <w:rFonts w:ascii="Courier New" w:cs="Courier New" w:eastAsia="Courier New" w:hAnsi="Courier New"/>
        </w:rPr>
        <w:t xml:space="preserve">       </w:t>
      </w:r>
      <w:r>
        <w:rPr>
          <w:sz w:val="22"/>
          <w:u w:val="single"/>
          <w:b/>
          <w:szCs w:val="22"/>
          <w:bCs/>
          <w:rFonts w:ascii="Courier New" w:cs="Courier New" w:eastAsia="Courier New" w:hAnsi="Courier New"/>
        </w:rPr>
        <w:t>МП г.о. Саранск «Горсвет»</w:t>
      </w:r>
      <w:r>
        <w:rPr>
          <w:sz w:val="22"/>
          <w:b/>
          <w:szCs w:val="22"/>
          <w:bCs/>
          <w:rFonts w:ascii="Courier New" w:cs="Courier New" w:eastAsia="Courier New" w:hAnsi="Courier New"/>
        </w:rPr>
        <w:t xml:space="preserve"> на </w:t>
      </w:r>
      <w:r>
        <w:rPr>
          <w:sz w:val="22"/>
          <w:b/>
          <w:szCs w:val="22"/>
          <w:bCs/>
          <w:rFonts w:ascii="Courier New" w:cs="Courier New" w:eastAsia="Courier New" w:hAnsi="Courier New"/>
        </w:rPr>
        <w:t>201</w:t>
      </w:r>
      <w:r>
        <w:rPr>
          <w:sz w:val="22"/>
          <w:b/>
          <w:szCs w:val="22"/>
          <w:bCs/>
          <w:rFonts w:ascii="Courier New" w:cs="Courier New" w:eastAsia="Courier New" w:hAnsi="Courier New"/>
        </w:rPr>
        <w:t>6</w:t>
      </w:r>
      <w:r>
        <w:rPr>
          <w:sz w:val="22"/>
          <w:b/>
          <w:szCs w:val="22"/>
          <w:bCs/>
          <w:rFonts w:ascii="Courier New" w:cs="Courier New" w:eastAsia="Courier New" w:hAnsi="Courier New"/>
        </w:rPr>
        <w:t xml:space="preserve"> год</w:t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                   </w:t>
      </w:r>
      <w:r>
        <w:rPr>
          <w:sz w:val="16"/>
          <w:szCs w:val="16"/>
          <w:rFonts w:ascii="Courier New" w:cs="Courier New" w:eastAsia="Courier New" w:hAnsi="Courier New"/>
        </w:rPr>
        <w:t>(наименование сетевой организации)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1. Полное наименование: </w:t>
      </w:r>
      <w:r>
        <w:rPr>
          <w:sz w:val="22"/>
          <w:u w:val="single"/>
          <w:szCs w:val="22"/>
          <w:rFonts w:ascii="Courier New" w:cs="Courier New" w:eastAsia="Courier New" w:hAnsi="Courier New"/>
        </w:rPr>
        <w:t>Муниципальное предприятие городского округа Саранск</w:t>
      </w:r>
    </w:p>
    <w:p>
      <w:pPr>
        <w:pStyle w:val="style0"/>
      </w:pPr>
      <w:r>
        <w:rPr>
          <w:sz w:val="22"/>
          <w:u w:val="none"/>
          <w:szCs w:val="22"/>
          <w:rFonts w:ascii="Courier New" w:cs="Courier New" w:eastAsia="Courier New" w:hAnsi="Courier New"/>
        </w:rPr>
        <w:t xml:space="preserve">                        </w:t>
      </w:r>
      <w:r>
        <w:rPr>
          <w:sz w:val="22"/>
          <w:u w:val="single"/>
          <w:szCs w:val="22"/>
          <w:rFonts w:ascii="Courier New" w:cs="Courier New" w:eastAsia="Courier New" w:hAnsi="Courier New"/>
        </w:rPr>
        <w:t>«Горсвет»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2. Сокращенное наименование: </w:t>
      </w:r>
      <w:r>
        <w:rPr>
          <w:sz w:val="22"/>
          <w:u w:val="single"/>
          <w:szCs w:val="22"/>
          <w:rFonts w:ascii="Courier New" w:cs="Courier New" w:eastAsia="Courier New" w:hAnsi="Courier New"/>
        </w:rPr>
        <w:t>МП г.о. Саранск «Горсвет»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3. Место нахождения: </w:t>
      </w:r>
      <w:r>
        <w:rPr>
          <w:sz w:val="22"/>
          <w:u w:val="single"/>
          <w:szCs w:val="22"/>
          <w:rFonts w:ascii="Courier New" w:cs="Courier New" w:eastAsia="Courier New" w:hAnsi="Courier New"/>
        </w:rPr>
        <w:t>Республика Мордовия, г.Саранск, ул.Пролетарская, 133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4. Адрес юридического лица: </w:t>
      </w:r>
      <w:r>
        <w:rPr>
          <w:sz w:val="22"/>
          <w:u w:val="single"/>
          <w:szCs w:val="22"/>
          <w:rFonts w:ascii="Courier New" w:cs="Courier New" w:eastAsia="Courier New" w:hAnsi="Courier New"/>
        </w:rPr>
        <w:t>430006, Республика Мордовия, г.Саранск,</w:t>
      </w:r>
    </w:p>
    <w:p>
      <w:pPr>
        <w:pStyle w:val="style0"/>
      </w:pPr>
      <w:r>
        <w:rPr>
          <w:sz w:val="22"/>
          <w:u w:val="none"/>
          <w:szCs w:val="22"/>
          <w:rFonts w:ascii="Courier New" w:cs="Courier New" w:eastAsia="Courier New" w:hAnsi="Courier New"/>
        </w:rPr>
        <w:t xml:space="preserve">                            </w:t>
      </w:r>
      <w:r>
        <w:rPr>
          <w:sz w:val="22"/>
          <w:u w:val="single"/>
          <w:szCs w:val="22"/>
          <w:rFonts w:ascii="Courier New" w:cs="Courier New" w:eastAsia="Courier New" w:hAnsi="Courier New"/>
        </w:rPr>
        <w:t>ул.Пролетарская, 133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5. ИНН: </w:t>
      </w:r>
      <w:r>
        <w:rPr>
          <w:sz w:val="22"/>
          <w:u w:val="single"/>
          <w:szCs w:val="22"/>
          <w:rFonts w:ascii="Courier New" w:cs="Courier New" w:eastAsia="Courier New" w:hAnsi="Courier New"/>
          <w:lang w:val="en-US"/>
        </w:rPr>
        <w:t>1325126382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6. КПП: </w:t>
      </w:r>
      <w:r>
        <w:rPr>
          <w:sz w:val="22"/>
          <w:u w:val="single"/>
          <w:szCs w:val="22"/>
          <w:rFonts w:ascii="Courier New" w:cs="Courier New" w:eastAsia="Courier New" w:hAnsi="Courier New"/>
          <w:lang w:val="en-US"/>
        </w:rPr>
        <w:t>132801001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7. Ф.И.О. Руководителя: </w:t>
      </w:r>
      <w:r>
        <w:rPr>
          <w:sz w:val="22"/>
          <w:u w:val="single"/>
          <w:szCs w:val="22"/>
          <w:rFonts w:ascii="Courier New" w:cs="Courier New" w:eastAsia="Courier New" w:hAnsi="Courier New"/>
        </w:rPr>
        <w:t>Катаскин Василий Алексеевич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8. Адрес электронной почты: </w:t>
      </w:r>
      <w:r>
        <w:rPr>
          <w:sz w:val="22"/>
          <w:szCs w:val="22"/>
          <w:rFonts w:ascii="Courier New" w:cs="Courier New" w:eastAsia="Courier New" w:hAnsi="Courier New"/>
          <w:lang w:val="en-US"/>
        </w:rPr>
        <w:t>gorsvet@mail.ru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9. Контактный телефон: </w:t>
      </w:r>
      <w:r>
        <w:rPr>
          <w:sz w:val="22"/>
          <w:u w:val="single"/>
          <w:szCs w:val="22"/>
          <w:rFonts w:ascii="Courier New" w:cs="Courier New" w:eastAsia="Courier New" w:hAnsi="Courier New"/>
          <w:lang w:val="en-US"/>
        </w:rPr>
        <w:t>33-30-66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10. Факс: </w:t>
      </w:r>
      <w:r>
        <w:rPr>
          <w:sz w:val="22"/>
          <w:u w:val="single"/>
          <w:szCs w:val="22"/>
          <w:rFonts w:ascii="Courier New" w:cs="Courier New" w:eastAsia="Courier New" w:hAnsi="Courier New"/>
          <w:lang w:val="en-US"/>
        </w:rPr>
        <w:t>33-30-55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hanging="0" w:left="170" w:right="0"/>
        <w:spacing w:after="0" w:before="75"/>
      </w:pPr>
      <w:r>
        <w:rPr/>
      </w:r>
    </w:p>
    <w:p>
      <w:pPr>
        <w:pStyle w:val="style0"/>
        <w:jc w:val="both"/>
        <w:ind w:hanging="0" w:left="170" w:right="0"/>
        <w:spacing w:after="0" w:before="75"/>
      </w:pPr>
      <w:r>
        <w:rPr/>
      </w:r>
    </w:p>
    <w:p>
      <w:pPr>
        <w:pStyle w:val="style0"/>
        <w:jc w:val="right"/>
        <w:ind w:firstLine="698" w:left="0" w:right="0"/>
        <w:pageBreakBefore/>
      </w:pPr>
      <w:bookmarkStart w:id="0" w:name="sub_2636874241"/>
      <w:bookmarkEnd w:id="0"/>
      <w:r>
        <w:rPr>
          <w:color w:val="26282F"/>
          <w:sz w:val="24"/>
          <w:b/>
          <w:bCs/>
        </w:rPr>
        <w:t>Приложение N 3</w:t>
        <w:br/>
        <w:t xml:space="preserve">к </w:t>
      </w:r>
      <w:r>
        <w:rPr>
          <w:rStyle w:val="style15"/>
          <w:color w:val="106BBE"/>
          <w:sz w:val="24"/>
          <w:b w:val="off"/>
          <w:bCs w:val="off"/>
        </w:rPr>
        <w:t>стандартам</w:t>
      </w:r>
      <w:r>
        <w:rPr>
          <w:color w:val="26282F"/>
          <w:sz w:val="24"/>
          <w:b/>
          <w:bCs/>
        </w:rPr>
        <w:t xml:space="preserve"> раскрытия информации</w:t>
        <w:br/>
        <w:t>субъектами оптового и розничных</w:t>
        <w:br/>
        <w:t>рынков электрической энергии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(форма)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 xml:space="preserve">                   </w:t>
      </w: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>СТАНДАРТИЗИРОВАННЫЕ ТАРИФНЫЕ СТАВКИ</w:t>
      </w:r>
    </w:p>
    <w:p>
      <w:pPr>
        <w:pStyle w:val="style0"/>
      </w:pP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 xml:space="preserve">            </w:t>
      </w: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>для расчета платы за технологическое присоединение</w:t>
      </w:r>
    </w:p>
    <w:p>
      <w:pPr>
        <w:pStyle w:val="style0"/>
      </w:pP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 xml:space="preserve">           </w:t>
      </w: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>к территориальным распределительным сетям на уровне</w:t>
      </w:r>
    </w:p>
    <w:p>
      <w:pPr>
        <w:pStyle w:val="style0"/>
      </w:pP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 xml:space="preserve">            </w:t>
      </w: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>напряжения ниже 35 кВ и присоединяемой мощностью</w:t>
      </w:r>
    </w:p>
    <w:p>
      <w:pPr>
        <w:pStyle w:val="style0"/>
      </w:pP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 xml:space="preserve">           </w:t>
      </w:r>
      <w:r>
        <w:rPr>
          <w:color w:val="26282F"/>
          <w:sz w:val="22"/>
          <w:b/>
          <w:szCs w:val="22"/>
          <w:bCs/>
          <w:rFonts w:ascii="Courier New" w:cs="Courier New" w:eastAsia="Courier New" w:hAnsi="Courier New"/>
        </w:rPr>
        <w:t xml:space="preserve">менее 8900 кВт </w:t>
      </w:r>
      <w:r>
        <w:rPr>
          <w:color w:val="26282F"/>
          <w:sz w:val="22"/>
          <w:u w:val="single"/>
          <w:b/>
          <w:szCs w:val="22"/>
          <w:bCs/>
          <w:rFonts w:ascii="Courier New" w:cs="Courier New" w:eastAsia="Courier New" w:hAnsi="Courier New"/>
        </w:rPr>
        <w:t>МП г.о. Саранск «Горсвет»</w:t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                           </w:t>
      </w:r>
      <w:r>
        <w:rPr>
          <w:sz w:val="16"/>
          <w:szCs w:val="16"/>
          <w:rFonts w:ascii="Courier New" w:cs="Courier New" w:eastAsia="Courier New" w:hAnsi="Courier New"/>
        </w:rPr>
        <w:t>(наименование сетевой организации)</w:t>
      </w:r>
    </w:p>
    <w:p>
      <w:pPr>
        <w:pStyle w:val="style0"/>
      </w:pPr>
      <w:r>
        <w:rPr>
          <w:sz w:val="22"/>
          <w:szCs w:val="22"/>
          <w:rFonts w:ascii="Courier New" w:cs="Courier New" w:eastAsia="Courier New" w:hAnsi="Courier New"/>
        </w:rPr>
        <w:t xml:space="preserve">                            </w:t>
      </w:r>
      <w:r>
        <w:rPr>
          <w:sz w:val="22"/>
          <w:b/>
          <w:szCs w:val="22"/>
          <w:bCs/>
          <w:rFonts w:ascii="Courier New" w:cs="Courier New" w:eastAsia="Courier New" w:hAnsi="Courier New"/>
        </w:rPr>
        <w:t xml:space="preserve">на </w:t>
      </w:r>
      <w:r>
        <w:rPr>
          <w:sz w:val="22"/>
          <w:b/>
          <w:szCs w:val="22"/>
          <w:bCs/>
          <w:rFonts w:ascii="Courier New" w:cs="Courier New" w:eastAsia="Courier New" w:hAnsi="Courier New"/>
          <w:lang w:val="en-US"/>
        </w:rPr>
        <w:t>201</w:t>
      </w:r>
      <w:r>
        <w:rPr>
          <w:sz w:val="22"/>
          <w:b/>
          <w:szCs w:val="22"/>
          <w:bCs/>
          <w:rFonts w:ascii="Courier New" w:cs="Courier New" w:eastAsia="Courier New" w:hAnsi="Courier New"/>
          <w:lang w:val="ru-RU"/>
        </w:rPr>
        <w:t>6</w:t>
      </w:r>
      <w:r>
        <w:rPr>
          <w:sz w:val="22"/>
          <w:b/>
          <w:szCs w:val="22"/>
          <w:bCs/>
          <w:rFonts w:ascii="Courier New" w:cs="Courier New" w:eastAsia="Courier New" w:hAnsi="Courier New"/>
        </w:rPr>
        <w:t xml:space="preserve"> год</w:t>
      </w:r>
    </w:p>
    <w:p>
      <w:pPr>
        <w:pStyle w:val="style0"/>
        <w:jc w:val="both"/>
        <w:ind w:firstLine="720" w:left="0" w:right="0"/>
      </w:pPr>
      <w:r>
        <w:rPr/>
      </w:r>
    </w:p>
    <w:tbl>
      <w:tblPr>
        <w:tblW w:type="dxa" w:w="10110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-108"/>
      </w:tblPr>
      <w:tblGrid>
        <w:gridCol w:w="4290"/>
        <w:gridCol w:w="6255"/>
        <w:gridCol w:w="825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Наименование стандартизированных тарифных ставок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измерения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2"/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Стандартизированные тарифные ставки</w:t>
            </w:r>
          </w:p>
        </w:tc>
      </w:tr>
      <w:tr>
        <w:trPr>
          <w:trHeight w:hRule="atLeast" w:val="768"/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по постоянной схеме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повременной схеме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bCs/>
                <w:lang w:val="en-US"/>
              </w:rPr>
              <w:t>C1</w:t>
            </w:r>
          </w:p>
          <w:p>
            <w:pPr>
              <w:pStyle w:val="style0"/>
              <w:jc w:val="left"/>
            </w:pPr>
            <w:r>
              <w:rPr>
                <w:sz w:val="24"/>
              </w:rP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2">
              <w:r>
                <w:rPr>
                  <w:rStyle w:val="style15"/>
                  <w:color w:val="106BBE"/>
                  <w:sz w:val="24"/>
                  <w:rStyle w:val="style15"/>
                </w:rPr>
                <w:t>пункте 16</w:t>
              </w:r>
            </w:hyperlink>
            <w:r>
              <w:rPr>
                <w:sz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3">
              <w:r>
                <w:rPr>
                  <w:rStyle w:val="style15"/>
                  <w:color w:val="106BBE"/>
                  <w:sz w:val="24"/>
                  <w:rStyle w:val="style15"/>
                </w:rPr>
                <w:t>подпунктов "б"</w:t>
              </w:r>
            </w:hyperlink>
            <w:r>
              <w:rPr>
                <w:sz w:val="24"/>
              </w:rPr>
              <w:t xml:space="preserve"> и </w:t>
            </w:r>
            <w:hyperlink r:id="rId4">
              <w:r>
                <w:rPr>
                  <w:rStyle w:val="style15"/>
                  <w:color w:val="106BBE"/>
                  <w:sz w:val="24"/>
                  <w:rStyle w:val="style15"/>
                </w:rPr>
                <w:t>"в" пункта 16</w:t>
              </w:r>
            </w:hyperlink>
            <w:r>
              <w:rPr>
                <w:sz w:val="24"/>
              </w:rPr>
              <w:t>, в расчете на 1 кВт максимальной мощности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рублей/кВт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lang w:val="en-US"/>
              </w:rPr>
              <w:t>201,09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lang w:val="en-US"/>
              </w:rPr>
              <w:t>201,09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bCs/>
                <w:lang w:val="en-US"/>
              </w:rPr>
              <w:t>C</w:t>
            </w:r>
            <w:r>
              <w:rPr>
                <w:vertAlign w:val="subscript"/>
                <w:sz w:val="24"/>
                <w:b/>
                <w:bCs/>
                <w:lang w:val="en-US"/>
              </w:rPr>
              <w:t>1.1</w:t>
            </w:r>
          </w:p>
          <w:p>
            <w:pPr>
              <w:pStyle w:val="style0"/>
              <w:jc w:val="left"/>
            </w:pPr>
            <w:bookmarkStart w:id="1" w:name="sub_3002"/>
            <w:bookmarkEnd w:id="1"/>
            <w:r>
              <w:rPr>
                <w:sz w:val="24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рублей/кВт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lang w:val="en-US"/>
              </w:rPr>
              <w:t>56,67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9"/>
                <w:lang w:val="en-US"/>
              </w:rPr>
              <w:t>56,67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bCs/>
                <w:lang w:val="en-US"/>
              </w:rPr>
              <w:t>C</w:t>
            </w:r>
            <w:r>
              <w:rPr>
                <w:vertAlign w:val="subscript"/>
                <w:sz w:val="24"/>
                <w:b/>
                <w:bCs/>
                <w:lang w:val="en-US"/>
              </w:rPr>
              <w:t>1.2</w:t>
            </w:r>
          </w:p>
          <w:p>
            <w:pPr>
              <w:pStyle w:val="style0"/>
              <w:jc w:val="left"/>
            </w:pPr>
            <w:bookmarkStart w:id="2" w:name="sub_3003"/>
            <w:bookmarkEnd w:id="2"/>
            <w:r>
              <w:rPr>
                <w:sz w:val="24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рублей/км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lang w:val="en-US"/>
              </w:rPr>
              <w:t>65,92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lang w:val="en-US"/>
              </w:rPr>
              <w:t>65,92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bCs/>
                <w:lang w:val="en-US"/>
              </w:rPr>
              <w:t>C</w:t>
            </w:r>
            <w:r>
              <w:rPr>
                <w:vertAlign w:val="subscript"/>
                <w:sz w:val="24"/>
                <w:b/>
                <w:bCs/>
                <w:lang w:val="en-US"/>
              </w:rPr>
              <w:t>1.3</w:t>
            </w:r>
          </w:p>
          <w:p>
            <w:pPr>
              <w:pStyle w:val="style0"/>
              <w:jc w:val="left"/>
            </w:pPr>
            <w:bookmarkStart w:id="3" w:name="sub_3004"/>
            <w:bookmarkEnd w:id="3"/>
            <w:r>
              <w:rPr>
                <w:sz w:val="24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рублей/км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lang w:val="en-US"/>
              </w:rPr>
              <w:t>3,75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lang w:val="en-US"/>
              </w:rPr>
              <w:t>3,75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bCs/>
                <w:lang w:val="en-US"/>
              </w:rPr>
              <w:t>C</w:t>
            </w:r>
            <w:r>
              <w:rPr>
                <w:vertAlign w:val="subscript"/>
                <w:sz w:val="24"/>
                <w:b/>
                <w:bCs/>
                <w:lang w:val="en-US"/>
              </w:rPr>
              <w:t>1.4</w:t>
            </w:r>
          </w:p>
          <w:p>
            <w:pPr>
              <w:pStyle w:val="style0"/>
              <w:jc w:val="left"/>
            </w:pPr>
            <w:bookmarkStart w:id="4" w:name="sub_3005"/>
            <w:bookmarkEnd w:id="4"/>
            <w:r>
              <w:rPr>
                <w:sz w:val="24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рублей/кВт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lang w:val="en-US"/>
              </w:rPr>
              <w:t>74,75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9"/>
                <w:lang w:val="en-US"/>
              </w:rPr>
              <w:t>74,75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bCs/>
                <w:lang w:val="en-US"/>
              </w:rPr>
              <w:t>C</w:t>
            </w:r>
            <w:r>
              <w:rPr>
                <w:vertAlign w:val="subscript"/>
                <w:sz w:val="24"/>
                <w:b/>
                <w:bCs/>
                <w:lang w:val="en-US"/>
              </w:rPr>
              <w:t xml:space="preserve">2,i </w:t>
            </w:r>
            <w:r>
              <w:rPr>
                <w:vertAlign w:val="superscript"/>
                <w:sz w:val="24"/>
                <w:b/>
                <w:bCs/>
                <w:lang w:val="en-US"/>
              </w:rPr>
              <w:t>*</w:t>
            </w:r>
          </w:p>
          <w:p>
            <w:pPr>
              <w:pStyle w:val="style0"/>
            </w:pPr>
            <w:r>
              <w:rPr>
                <w:sz w:val="24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5">
              <w:r>
                <w:rPr>
                  <w:rStyle w:val="style15"/>
                  <w:color w:val="106BBE"/>
                  <w:sz w:val="24"/>
                  <w:rStyle w:val="style15"/>
                </w:rPr>
                <w:t>приложению N 1</w:t>
              </w:r>
            </w:hyperlink>
            <w:r>
              <w:rPr>
                <w:sz w:val="24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рублей/км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bCs/>
                <w:lang w:val="en-US"/>
              </w:rPr>
              <w:t>C</w:t>
            </w:r>
            <w:r>
              <w:rPr>
                <w:vertAlign w:val="subscript"/>
                <w:sz w:val="24"/>
                <w:b/>
                <w:bCs/>
                <w:lang w:val="en-US"/>
              </w:rPr>
              <w:t xml:space="preserve">3,i </w:t>
            </w:r>
            <w:r>
              <w:rPr>
                <w:vertAlign w:val="superscript"/>
                <w:sz w:val="24"/>
                <w:b/>
                <w:bCs/>
                <w:lang w:val="en-US"/>
              </w:rPr>
              <w:t>*</w:t>
            </w:r>
          </w:p>
          <w:p>
            <w:pPr>
              <w:pStyle w:val="style0"/>
            </w:pPr>
            <w:r>
              <w:rPr>
                <w:sz w:val="24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6">
              <w:r>
                <w:rPr>
                  <w:rStyle w:val="style15"/>
                  <w:color w:val="106BBE"/>
                  <w:sz w:val="24"/>
                  <w:rStyle w:val="style15"/>
                </w:rPr>
                <w:t>приложению N 1</w:t>
              </w:r>
            </w:hyperlink>
            <w:r>
              <w:rPr>
                <w:sz w:val="24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рублей/км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29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Style w:val="style15"/>
                <w:color w:val="000000"/>
                <w:sz w:val="24"/>
                <w:u w:val="none"/>
                <w:b/>
                <w:bCs/>
                <w:lang w:val="en-US"/>
              </w:rPr>
              <w:t>C</w:t>
            </w:r>
            <w:r>
              <w:rPr>
                <w:rStyle w:val="style15"/>
                <w:color w:val="000000"/>
                <w:vertAlign w:val="subscript"/>
                <w:sz w:val="24"/>
                <w:u w:val="none"/>
                <w:b/>
                <w:bCs/>
                <w:lang w:val="en-US"/>
              </w:rPr>
              <w:t>4</w:t>
            </w:r>
            <w:r>
              <w:rPr>
                <w:rStyle w:val="style15"/>
                <w:color w:val="000000"/>
                <w:vertAlign w:val="subscript"/>
                <w:sz w:val="24"/>
                <w:u w:val="none"/>
                <w:b/>
                <w:bCs/>
                <w:lang w:val="en-US"/>
              </w:rPr>
              <w:t xml:space="preserve">,i </w:t>
            </w:r>
            <w:r>
              <w:rPr>
                <w:rStyle w:val="style15"/>
                <w:color w:val="000000"/>
                <w:vertAlign w:val="superscript"/>
                <w:sz w:val="24"/>
                <w:u w:val="none"/>
                <w:b/>
                <w:bCs/>
                <w:lang w:val="en-US"/>
              </w:rPr>
              <w:t>*</w:t>
            </w:r>
          </w:p>
          <w:p>
            <w:pPr>
              <w:pStyle w:val="style0"/>
              <w:jc w:val="left"/>
            </w:pPr>
            <w:bookmarkStart w:id="5" w:name="sub_3008"/>
            <w:r>
              <w:rPr>
                <w:rStyle w:val="style15"/>
                <w:color w:val="000000"/>
                <w:sz w:val="24"/>
                <w:u w:val="none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7">
              <w:r>
                <w:rPr>
                  <w:rStyle w:val="style15"/>
                  <w:color w:val="000000"/>
                  <w:sz w:val="24"/>
                  <w:u w:val="none"/>
                  <w:rStyle w:val="style15"/>
                </w:rPr>
                <w:t>приложению N 1</w:t>
              </w:r>
            </w:hyperlink>
            <w:bookmarkEnd w:id="5"/>
            <w:r>
              <w:rPr>
                <w:rStyle w:val="style15"/>
                <w:color w:val="000000"/>
                <w:sz w:val="24"/>
                <w:u w:val="none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рублей/кВт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2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9"/>
                <w:lang w:val="en-US"/>
              </w:rPr>
              <w:t>-</w:t>
            </w:r>
          </w:p>
        </w:tc>
      </w:tr>
    </w:tbl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4"/>
        </w:rPr>
        <w:t>______________________________</w:t>
      </w:r>
    </w:p>
    <w:p>
      <w:pPr>
        <w:pStyle w:val="style0"/>
        <w:jc w:val="both"/>
        <w:ind w:firstLine="720" w:left="0" w:right="0"/>
      </w:pPr>
      <w:bookmarkStart w:id="6" w:name="sub_333"/>
      <w:bookmarkEnd w:id="6"/>
      <w:r>
        <w:rPr>
          <w:sz w:val="24"/>
        </w:rPr>
        <w:t xml:space="preserve">* Ставки платы </w:t>
      </w:r>
      <w:r>
        <w:rPr>
          <w:rStyle w:val="style15"/>
          <w:color w:val="000000"/>
          <w:sz w:val="24"/>
          <w:u w:val="none"/>
          <w:b/>
          <w:bCs/>
          <w:lang w:val="en-US"/>
        </w:rPr>
        <w:t>C</w:t>
      </w:r>
      <w:r>
        <w:rPr>
          <w:rStyle w:val="style15"/>
          <w:color w:val="000000"/>
          <w:vertAlign w:val="subscript"/>
          <w:sz w:val="24"/>
          <w:u w:val="none"/>
          <w:b/>
          <w:bCs/>
          <w:lang w:val="en-US"/>
        </w:rPr>
        <w:t>2</w:t>
      </w:r>
      <w:r>
        <w:rPr>
          <w:rStyle w:val="style15"/>
          <w:color w:val="000000"/>
          <w:vertAlign w:val="subscript"/>
          <w:sz w:val="24"/>
          <w:u w:val="none"/>
          <w:b/>
          <w:bCs/>
          <w:lang w:val="en-US"/>
        </w:rPr>
        <w:t xml:space="preserve">,i </w:t>
      </w:r>
      <w:r>
        <w:rPr>
          <w:rStyle w:val="style15"/>
          <w:color w:val="000000"/>
          <w:vertAlign w:val="superscript"/>
          <w:sz w:val="24"/>
          <w:u w:val="none"/>
          <w:b/>
          <w:bCs/>
          <w:lang w:val="en-US"/>
        </w:rPr>
        <w:t>*</w:t>
      </w:r>
      <w:r>
        <w:rPr>
          <w:rStyle w:val="style15"/>
          <w:color w:val="000000"/>
          <w:vertAlign w:val="baseline"/>
          <w:position w:val="0"/>
          <w:sz w:val="20"/>
          <w:sz w:val="24"/>
          <w:u w:val="none"/>
          <w:b/>
          <w:bCs/>
          <w:lang w:val="en-US"/>
        </w:rPr>
        <w:t>,</w:t>
      </w:r>
      <w:r>
        <w:rPr>
          <w:sz w:val="24"/>
        </w:rPr>
        <w:t xml:space="preserve"> </w:t>
      </w:r>
      <w:r>
        <w:rPr>
          <w:rStyle w:val="style15"/>
          <w:color w:val="000000"/>
          <w:sz w:val="24"/>
          <w:u w:val="none"/>
          <w:b/>
          <w:bCs/>
          <w:lang w:val="en-US"/>
        </w:rPr>
        <w:t>C</w:t>
      </w:r>
      <w:r>
        <w:rPr>
          <w:rStyle w:val="style15"/>
          <w:color w:val="000000"/>
          <w:vertAlign w:val="subscript"/>
          <w:sz w:val="24"/>
          <w:u w:val="none"/>
          <w:b/>
          <w:bCs/>
          <w:lang w:val="en-US"/>
        </w:rPr>
        <w:t>3</w:t>
      </w:r>
      <w:r>
        <w:rPr>
          <w:rStyle w:val="style15"/>
          <w:color w:val="000000"/>
          <w:vertAlign w:val="subscript"/>
          <w:sz w:val="24"/>
          <w:u w:val="none"/>
          <w:b/>
          <w:bCs/>
          <w:lang w:val="en-US"/>
        </w:rPr>
        <w:t xml:space="preserve">,i </w:t>
      </w:r>
      <w:r>
        <w:rPr>
          <w:rStyle w:val="style15"/>
          <w:color w:val="000000"/>
          <w:vertAlign w:val="superscript"/>
          <w:sz w:val="24"/>
          <w:u w:val="none"/>
          <w:b/>
          <w:bCs/>
          <w:lang w:val="en-US"/>
        </w:rPr>
        <w:t>*</w:t>
      </w:r>
      <w:r>
        <w:rPr>
          <w:rStyle w:val="style15"/>
          <w:color w:val="000000"/>
          <w:vertAlign w:val="baseline"/>
          <w:position w:val="0"/>
          <w:sz w:val="20"/>
          <w:sz w:val="24"/>
          <w:u w:val="none"/>
          <w:b/>
          <w:bCs/>
          <w:lang w:val="en-US"/>
        </w:rPr>
        <w:t>,</w:t>
      </w:r>
      <w:r>
        <w:rPr>
          <w:sz w:val="24"/>
        </w:rPr>
        <w:t xml:space="preserve"> </w:t>
      </w:r>
      <w:r>
        <w:rPr>
          <w:rStyle w:val="style15"/>
          <w:color w:val="000000"/>
          <w:sz w:val="24"/>
          <w:u w:val="none"/>
          <w:b/>
          <w:bCs/>
          <w:lang w:val="en-US"/>
        </w:rPr>
        <w:t>C</w:t>
      </w:r>
      <w:r>
        <w:rPr>
          <w:rStyle w:val="style15"/>
          <w:color w:val="000000"/>
          <w:vertAlign w:val="subscript"/>
          <w:sz w:val="24"/>
          <w:u w:val="none"/>
          <w:b/>
          <w:bCs/>
          <w:lang w:val="en-US"/>
        </w:rPr>
        <w:t xml:space="preserve">4,i </w:t>
      </w:r>
      <w:r>
        <w:rPr>
          <w:rStyle w:val="style15"/>
          <w:color w:val="000000"/>
          <w:vertAlign w:val="superscript"/>
          <w:sz w:val="24"/>
          <w:u w:val="none"/>
          <w:b/>
          <w:bCs/>
          <w:lang w:val="en-US"/>
        </w:rPr>
        <w:t>*</w:t>
      </w:r>
      <w:r>
        <w:rPr>
          <w:sz w:val="24"/>
        </w:rP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>
      <w:pPr>
        <w:pStyle w:val="style0"/>
        <w:jc w:val="both"/>
        <w:ind w:firstLine="720" w:left="0" w:right="0"/>
      </w:pPr>
      <w:bookmarkStart w:id="7" w:name="sub_3331"/>
      <w:bookmarkStart w:id="8" w:name="sub_3331"/>
      <w:bookmarkEnd w:id="8"/>
      <w:r>
        <w:rPr/>
      </w:r>
    </w:p>
    <w:p>
      <w:pPr>
        <w:pStyle w:val="style0"/>
        <w:jc w:val="both"/>
        <w:ind w:hanging="0" w:left="170" w:right="0"/>
        <w:spacing w:after="0" w:before="75"/>
      </w:pPr>
      <w:r>
        <w:rPr/>
      </w:r>
    </w:p>
    <w:p>
      <w:pPr>
        <w:pStyle w:val="style0"/>
        <w:jc w:val="right"/>
        <w:ind w:firstLine="698" w:left="0" w:right="0"/>
        <w:pageBreakBefore/>
      </w:pPr>
      <w:bookmarkStart w:id="9" w:name="sub_4731118841"/>
      <w:bookmarkEnd w:id="9"/>
      <w:r>
        <w:rPr>
          <w:color w:val="26282F"/>
          <w:sz w:val="24"/>
          <w:b/>
          <w:bCs/>
        </w:rPr>
        <w:t>Приложение N 4</w:t>
        <w:br/>
        <w:t xml:space="preserve">к </w:t>
      </w:r>
      <w:r>
        <w:rPr>
          <w:rStyle w:val="style15"/>
          <w:color w:val="106BBE"/>
          <w:sz w:val="24"/>
          <w:b w:val="off"/>
          <w:bCs w:val="off"/>
        </w:rPr>
        <w:t>стандартам</w:t>
      </w:r>
      <w:r>
        <w:rPr>
          <w:color w:val="26282F"/>
          <w:sz w:val="24"/>
          <w:b/>
          <w:bCs/>
        </w:rPr>
        <w:t xml:space="preserve"> раскрытия информации</w:t>
        <w:br/>
        <w:t>субъектами оптового и розничных</w:t>
        <w:br/>
        <w:t>рынков электрической энергии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(форма)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Расходы на мероприятия, осуществляемые при технологическом присоединении</w:t>
      </w:r>
    </w:p>
    <w:p>
      <w:pPr>
        <w:pStyle w:val="style0"/>
        <w:jc w:val="both"/>
        <w:ind w:firstLine="720" w:left="0" w:right="0"/>
      </w:pPr>
      <w:r>
        <w:rPr/>
      </w:r>
    </w:p>
    <w:tbl>
      <w:tblPr>
        <w:tblW w:type="dxa" w:w="10044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-108"/>
      </w:tblPr>
      <w:tblGrid>
        <w:gridCol w:w="3247"/>
        <w:gridCol w:w="5222"/>
        <w:gridCol w:w="7449"/>
        <w:gridCol w:w="745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  <w:t>Распределение необходимой валовой выручки</w:t>
            </w:r>
            <w:r>
              <w:rPr>
                <w:rStyle w:val="style15"/>
                <w:color w:val="000000"/>
                <w:sz w:val="24"/>
                <w:szCs w:val="24"/>
              </w:rPr>
              <w:t>*</w:t>
            </w:r>
          </w:p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  <w:t>(рублей)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Ставки для расчета платы по каждому мероприятию (рублей/кВт) (без учета НДС)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lang w:val="en-US"/>
              </w:rPr>
              <w:t xml:space="preserve">1. </w:t>
            </w:r>
            <w:r>
              <w:rPr>
                <w:sz w:val="24"/>
              </w:rPr>
              <w:t>Подготовка и выдача сетевой организацией технических условий заявителю: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по постоянной схеме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по временной схеме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  <w:t>93044,12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1642,00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restart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56,67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Выполнение сетевой организацией мероприятий, связанных со строительством "последней мили":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строительство воздушных линий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строительство кабельных линий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строительство пунктов секционирования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restart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>Проверка сетевой организацией выполнения заявителем технических условий: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по постоянной схеме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по временной схеме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  <w:t>108243,98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1642,00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restart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65,92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по постоянной схеме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по временной схеме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  <w:t>6158,92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1642,00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restart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3,75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t>Фактические действия по присоединению и обеспечению работы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по постоянной схеме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</w:rPr>
              <w:t>по временной схеме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  <w:t>122742,49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1642,00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restart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74,75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atLeast" w:val="427"/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24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22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5040" w:val="left"/>
                <w:tab w:leader="none" w:pos="5760" w:val="left"/>
                <w:tab w:leader="none" w:pos="6480" w:val="left"/>
                <w:tab w:leader="none" w:pos="7200" w:val="left"/>
                <w:tab w:leader="none" w:pos="7920" w:val="left"/>
                <w:tab w:leader="none" w:pos="8640" w:val="left"/>
                <w:tab w:leader="none" w:pos="9360" w:val="left"/>
                <w:tab w:leader="none" w:pos="10080" w:val="left"/>
                <w:tab w:leader="none" w:pos="10367" w:val="left"/>
                <w:tab w:leader="none" w:pos="10800" w:val="left"/>
                <w:tab w:leader="none" w:pos="11520" w:val="left"/>
                <w:tab w:leader="none" w:pos="12240" w:val="left"/>
                <w:tab w:leader="none" w:pos="12960" w:val="left"/>
                <w:tab w:leader="none" w:pos="13680" w:val="left"/>
                <w:tab w:leader="none" w:pos="1440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7449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4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vMerge w:val="continue"/>
            <w:shd w:fill="auto"/>
            <w:tcW w:type="dxa" w:w="10044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</w:pPr>
      <w:r>
        <w:rPr>
          <w:sz w:val="24"/>
        </w:rPr>
        <w:t>_____________________________</w:t>
      </w:r>
    </w:p>
    <w:p>
      <w:pPr>
        <w:pStyle w:val="style0"/>
        <w:jc w:val="both"/>
        <w:ind w:firstLine="720" w:left="0" w:right="0"/>
      </w:pPr>
      <w:bookmarkStart w:id="10" w:name="sub_444"/>
      <w:bookmarkEnd w:id="10"/>
      <w:r>
        <w:rPr>
          <w:sz w:val="24"/>
        </w:rPr>
        <w:t xml:space="preserve">* Согласно </w:t>
      </w:r>
      <w:hyperlink r:id="rId8">
        <w:r>
          <w:rPr>
            <w:rStyle w:val="style15"/>
            <w:color w:val="106BBE"/>
            <w:sz w:val="24"/>
            <w:rStyle w:val="style15"/>
          </w:rPr>
          <w:t>приложению N 1</w:t>
        </w:r>
      </w:hyperlink>
      <w:r>
        <w:rPr>
          <w:sz w:val="24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>
      <w:pPr>
        <w:pStyle w:val="style0"/>
        <w:jc w:val="both"/>
        <w:ind w:firstLine="720" w:left="0" w:right="0"/>
      </w:pPr>
      <w:bookmarkStart w:id="11" w:name="sub_4441"/>
      <w:bookmarkStart w:id="12" w:name="sub_4441"/>
      <w:bookmarkEnd w:id="12"/>
      <w:r>
        <w:rPr/>
      </w:r>
    </w:p>
    <w:p>
      <w:pPr>
        <w:pStyle w:val="style0"/>
        <w:jc w:val="both"/>
        <w:ind w:hanging="0" w:left="170" w:right="0"/>
        <w:spacing w:after="0" w:before="75"/>
      </w:pPr>
      <w:r>
        <w:rPr/>
      </w:r>
    </w:p>
    <w:p>
      <w:pPr>
        <w:pStyle w:val="style0"/>
        <w:jc w:val="right"/>
        <w:ind w:firstLine="698" w:left="0" w:right="0"/>
      </w:pPr>
      <w:r>
        <w:rPr/>
      </w:r>
    </w:p>
    <w:p>
      <w:pPr>
        <w:pStyle w:val="style0"/>
        <w:jc w:val="right"/>
        <w:ind w:firstLine="698" w:left="0" w:right="0"/>
        <w:pageBreakBefore/>
      </w:pPr>
      <w:bookmarkStart w:id="13" w:name="sub_4729044321"/>
      <w:bookmarkEnd w:id="13"/>
      <w:r>
        <w:rPr>
          <w:color w:val="26282F"/>
          <w:sz w:val="24"/>
          <w:b/>
          <w:bCs/>
        </w:rPr>
        <w:t>Приложение N 5</w:t>
        <w:br/>
        <w:t xml:space="preserve">к </w:t>
      </w:r>
      <w:r>
        <w:rPr>
          <w:rStyle w:val="style15"/>
          <w:color w:val="106BBE"/>
          <w:sz w:val="24"/>
          <w:b w:val="off"/>
          <w:bCs w:val="off"/>
        </w:rPr>
        <w:t>стандартам</w:t>
      </w:r>
      <w:r>
        <w:rPr>
          <w:color w:val="26282F"/>
          <w:sz w:val="24"/>
          <w:b/>
          <w:bCs/>
        </w:rPr>
        <w:t xml:space="preserve"> раскрытия информации</w:t>
        <w:br/>
        <w:t>субъектами оптового и розничных</w:t>
        <w:br/>
        <w:t>рынков электрической энергии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(форма)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Расчет</w:t>
        <w:br/>
        <w:t>необходимой валовой выручки сетевой организации на технологическое присоединение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(тыс. рублей)</w:t>
      </w:r>
    </w:p>
    <w:p>
      <w:pPr>
        <w:pStyle w:val="style0"/>
        <w:jc w:val="both"/>
        <w:ind w:firstLine="720" w:left="0" w:right="0"/>
      </w:pPr>
      <w:r>
        <w:rPr/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-108"/>
      </w:tblPr>
      <w:tblGrid>
        <w:gridCol w:w="941"/>
        <w:gridCol w:w="6150"/>
        <w:gridCol w:w="8085"/>
        <w:gridCol w:w="10110"/>
        <w:gridCol w:w="19787"/>
        <w:gridCol w:w="25288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Показатели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Ожидаемые данные за 2015 год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Плановые показатели на 2016 год</w:t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Ожидаемые данные за текущий период</w:t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Плановые показатели на следующий период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14" w:name="sub_5001"/>
            <w:bookmarkEnd w:id="14"/>
            <w:r>
              <w:rPr>
                <w:sz w:val="24"/>
              </w:rPr>
              <w:t>1.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1470,47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1750,94</w:t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числе: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 xml:space="preserve">вспомогательные материалы </w:t>
            </w:r>
            <w:r>
              <w:rPr>
                <w:sz w:val="24"/>
              </w:rPr>
              <w:t>(ГСМ)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391,76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437,40</w:t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энергия на хозяйственные нужды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оплата труда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654,10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785,57</w:t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отчисления на страховые взносы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197,54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237,24</w:t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прочие расходы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227,08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290,73</w:t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из них: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работы и услуги производственного характера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161,96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207,35</w:t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работы и услуги непроизводственного характера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числе: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услуги связи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расходы на охрану и пожарную безопасность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расходы на информационное обслуживание, консультационные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и юридические услуги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плата за аренду имущества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другие прочие расходы, связанные с производством и реализацией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внереализационные расходы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65,12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83,38</w:t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числе: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расходы на услуги банков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процент за пользование кредитом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прочие обоснованные расходы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15" w:name="sub_5002"/>
            <w:bookmarkEnd w:id="15"/>
            <w:r>
              <w:rPr>
                <w:sz w:val="24"/>
              </w:rPr>
              <w:t>2.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16" w:name="sub_5003"/>
            <w:bookmarkEnd w:id="16"/>
            <w:r>
              <w:rPr>
                <w:sz w:val="24"/>
              </w:rPr>
              <w:t>3.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15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Выпадающие доходы (экономия средств)</w:t>
            </w:r>
          </w:p>
          <w:p>
            <w:pPr>
              <w:pStyle w:val="style0"/>
            </w:pPr>
            <w:r>
              <w:rPr>
                <w:sz w:val="24"/>
              </w:rPr>
              <w:t>Итого (размер необходимой валовой выручки)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0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/>
            <w:shd w:fill="auto"/>
            <w:tcW w:type="dxa" w:w="1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/>
            <w:shd w:fill="auto"/>
            <w:tcW w:type="dxa" w:w="252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hanging="0" w:left="170" w:right="0"/>
        <w:spacing w:after="0" w:before="75"/>
      </w:pPr>
      <w:r>
        <w:rPr/>
      </w:r>
    </w:p>
    <w:p>
      <w:pPr>
        <w:pStyle w:val="style0"/>
        <w:jc w:val="right"/>
        <w:ind w:firstLine="698" w:left="0" w:right="-180"/>
        <w:pageBreakBefore/>
      </w:pPr>
      <w:bookmarkStart w:id="17" w:name="sub_4731279841"/>
      <w:bookmarkEnd w:id="17"/>
      <w:r>
        <w:rPr>
          <w:color w:val="26282F"/>
          <w:sz w:val="24"/>
          <w:b/>
          <w:bCs/>
        </w:rPr>
        <w:t>Приложение N 6</w:t>
        <w:br/>
        <w:t xml:space="preserve">к </w:t>
      </w:r>
      <w:r>
        <w:rPr>
          <w:rStyle w:val="style15"/>
          <w:color w:val="106BBE"/>
          <w:sz w:val="24"/>
          <w:b w:val="off"/>
          <w:bCs w:val="off"/>
        </w:rPr>
        <w:t>стандартам</w:t>
      </w:r>
      <w:r>
        <w:rPr>
          <w:color w:val="26282F"/>
          <w:sz w:val="24"/>
          <w:b/>
          <w:bCs/>
        </w:rPr>
        <w:t xml:space="preserve"> раскрытия информации</w:t>
        <w:br/>
        <w:t>субъектами оптового и розничных</w:t>
        <w:br/>
        <w:t>рынков электрической энергии</w:t>
      </w:r>
    </w:p>
    <w:p>
      <w:pPr>
        <w:pStyle w:val="style0"/>
        <w:jc w:val="both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6105" w:val="left"/>
          <w:tab w:leader="none" w:pos="6480" w:val="left"/>
          <w:tab w:leader="none" w:pos="7200" w:val="left"/>
          <w:tab w:leader="none" w:pos="7920" w:val="left"/>
          <w:tab w:leader="none" w:pos="8640" w:val="left"/>
          <w:tab w:leader="none" w:pos="9360" w:val="left"/>
          <w:tab w:leader="none" w:pos="10080" w:val="left"/>
          <w:tab w:leader="none" w:pos="10800" w:val="left"/>
          <w:tab w:leader="none" w:pos="11520" w:val="left"/>
          <w:tab w:leader="none" w:pos="12240" w:val="left"/>
          <w:tab w:leader="none" w:pos="12960" w:val="left"/>
          <w:tab w:leader="none" w:pos="13680" w:val="left"/>
          <w:tab w:leader="none" w:pos="14400" w:val="left"/>
        </w:tabs>
        <w:ind w:firstLine="720" w:left="0" w:right="-15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(форма)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>
      <w:pPr>
        <w:pStyle w:val="style0"/>
        <w:jc w:val="both"/>
        <w:ind w:firstLine="720" w:left="0" w:right="0"/>
      </w:pPr>
      <w:r>
        <w:rPr/>
      </w:r>
    </w:p>
    <w:tbl>
      <w:tblPr>
        <w:tblW w:type="dxa" w:w="10110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-108"/>
      </w:tblPr>
      <w:tblGrid>
        <w:gridCol w:w="317"/>
        <w:gridCol w:w="5640"/>
        <w:gridCol w:w="7830"/>
        <w:gridCol w:w="10041"/>
        <w:gridCol w:w="1011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31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64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8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Фактические расходы на строительство подстанций за 3 предыдущих года</w:t>
            </w:r>
          </w:p>
          <w:p>
            <w:pPr>
              <w:pStyle w:val="style0"/>
              <w:jc w:val="center"/>
            </w:pPr>
            <w:r>
              <w:rPr>
                <w:sz w:val="24"/>
              </w:rPr>
              <w:t>(тыс. рублей)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2" w:val="left"/>
                <w:tab w:leader="none" w:pos="1422" w:val="left"/>
                <w:tab w:leader="none" w:pos="2142" w:val="left"/>
                <w:tab w:leader="none" w:pos="3582" w:val="left"/>
                <w:tab w:leader="none" w:pos="4302" w:val="left"/>
                <w:tab w:leader="none" w:pos="5022" w:val="left"/>
                <w:tab w:leader="none" w:pos="5742" w:val="left"/>
                <w:tab w:leader="none" w:pos="6462" w:val="left"/>
                <w:tab w:leader="none" w:pos="7182" w:val="left"/>
                <w:tab w:leader="none" w:pos="7902" w:val="left"/>
                <w:tab w:leader="none" w:pos="8622" w:val="left"/>
                <w:tab w:leader="none" w:pos="9342" w:val="left"/>
                <w:tab w:leader="none" w:pos="10062" w:val="left"/>
                <w:tab w:leader="none" w:pos="10782" w:val="left"/>
                <w:tab w:leader="none" w:pos="11502" w:val="left"/>
                <w:tab w:leader="none" w:pos="12222" w:val="left"/>
                <w:tab w:leader="none" w:pos="12432" w:val="left"/>
                <w:tab w:leader="none" w:pos="12942" w:val="left"/>
                <w:tab w:leader="none" w:pos="13662" w:val="left"/>
                <w:tab w:leader="none" w:pos="14382" w:val="left"/>
              </w:tabs>
              <w:ind w:hanging="0" w:left="-18" w:right="-3"/>
            </w:pPr>
            <w:r>
              <w:rPr>
                <w:sz w:val="24"/>
              </w:rPr>
              <w:t>Объем мощности, введенной в основные фонды за 3 предыдущих года (кВт)</w:t>
            </w:r>
          </w:p>
        </w:tc>
        <w:tc>
          <w:tcPr>
            <w:tcBorders/>
            <w:shd w:fill="auto"/>
            <w:tcW w:type="dxa" w:w="10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64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8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bCs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bCs/>
              </w:rPr>
              <w:t>-</w:t>
            </w:r>
          </w:p>
        </w:tc>
        <w:tc>
          <w:tcPr>
            <w:tcBorders/>
            <w:shd w:fill="auto"/>
            <w:tcW w:type="dxa" w:w="10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18" w:name="sub_6002"/>
            <w:bookmarkEnd w:id="18"/>
            <w:r>
              <w:rPr>
                <w:sz w:val="24"/>
              </w:rPr>
              <w:t>2.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64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8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bCs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bCs/>
              </w:rPr>
              <w:t>-</w:t>
            </w:r>
          </w:p>
        </w:tc>
        <w:tc>
          <w:tcPr>
            <w:tcBorders/>
            <w:shd w:fill="auto"/>
            <w:tcW w:type="dxa" w:w="10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7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19" w:name="sub_6003"/>
            <w:bookmarkEnd w:id="19"/>
            <w:r>
              <w:rPr>
                <w:sz w:val="24"/>
              </w:rPr>
              <w:t>3.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64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83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bCs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041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b/>
                <w:szCs w:val="24"/>
                <w:bCs/>
              </w:rPr>
              <w:t>-</w:t>
            </w:r>
          </w:p>
        </w:tc>
        <w:tc>
          <w:tcPr>
            <w:tcBorders/>
            <w:shd w:fill="auto"/>
            <w:tcW w:type="dxa" w:w="10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both"/>
        <w:ind w:hanging="0" w:left="170" w:right="0"/>
        <w:spacing w:after="0" w:before="75"/>
      </w:pPr>
      <w:r>
        <w:rPr/>
      </w:r>
    </w:p>
    <w:p>
      <w:pPr>
        <w:pStyle w:val="style0"/>
        <w:jc w:val="right"/>
        <w:ind w:firstLine="698" w:left="0" w:right="0"/>
        <w:pageBreakBefore/>
      </w:pPr>
      <w:bookmarkStart w:id="20" w:name="sub_4731141481"/>
      <w:bookmarkEnd w:id="20"/>
      <w:r>
        <w:rPr>
          <w:color w:val="26282F"/>
          <w:sz w:val="24"/>
          <w:b/>
          <w:bCs/>
        </w:rPr>
        <w:t>Приложение N 7</w:t>
        <w:br/>
        <w:t xml:space="preserve">к </w:t>
      </w:r>
      <w:r>
        <w:rPr>
          <w:rStyle w:val="style15"/>
          <w:color w:val="106BBE"/>
          <w:sz w:val="24"/>
          <w:b w:val="off"/>
          <w:bCs w:val="off"/>
        </w:rPr>
        <w:t>стандартам</w:t>
      </w:r>
      <w:r>
        <w:rPr>
          <w:color w:val="26282F"/>
          <w:sz w:val="24"/>
          <w:b/>
          <w:bCs/>
        </w:rPr>
        <w:t xml:space="preserve"> раскрытия информации</w:t>
        <w:br/>
        <w:t>субъектами оптового и розничных</w:t>
        <w:br/>
        <w:t>рынков электрической энергии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(форма)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</w:t>
      </w:r>
    </w:p>
    <w:p>
      <w:pPr>
        <w:pStyle w:val="style0"/>
        <w:jc w:val="both"/>
        <w:ind w:firstLine="720" w:left="0" w:right="0"/>
      </w:pPr>
      <w:r>
        <w:rPr/>
      </w:r>
    </w:p>
    <w:tbl>
      <w:tblPr>
        <w:tblW w:type="dxa" w:w="10320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-108"/>
      </w:tblPr>
      <w:tblGrid>
        <w:gridCol w:w="568"/>
        <w:gridCol w:w="3570"/>
        <w:gridCol w:w="5745"/>
        <w:gridCol w:w="7695"/>
        <w:gridCol w:w="7696"/>
        <w:gridCol w:w="7700"/>
        <w:gridCol w:w="1032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 xml:space="preserve">Расходы на строительство воздушных и кабельных линий электропередачи на </w:t>
            </w:r>
            <w:r>
              <w:rPr>
                <w:sz w:val="24"/>
                <w:szCs w:val="24"/>
                <w:lang w:val="en-US"/>
              </w:rPr>
              <w:t>i-том</w:t>
            </w:r>
            <w:r>
              <w:rPr>
                <w:sz w:val="24"/>
                <w:szCs w:val="24"/>
              </w:rPr>
              <w:t xml:space="preserve"> уровне напряжения, фактически построенных за последние 3 года (</w:t>
            </w:r>
            <w:r>
              <w:rPr>
                <w:sz w:val="24"/>
                <w:szCs w:val="24"/>
                <w:lang w:val="ru-RU"/>
              </w:rPr>
              <w:t>тыс. рублей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 xml:space="preserve">Длина воздушных и кабельных линий электропередачи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-том уровне напряжения, фактически построенных за последние 3 года (км)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Расходы на строительство воздушных и кабельных линий электропередачи на i-м уровне напряжения, фактически построенных за последние 3 года (тыс. рублей)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21" w:name="sub_7001"/>
            <w:bookmarkEnd w:id="21"/>
            <w:r>
              <w:rPr>
                <w:sz w:val="24"/>
              </w:rPr>
              <w:t>1.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Строительство кабельных линий электропередачи: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0,4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1 - 20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35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22" w:name="sub_7002"/>
            <w:bookmarkEnd w:id="22"/>
            <w:r>
              <w:rPr>
                <w:sz w:val="24"/>
              </w:rPr>
              <w:t>2.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Строительство воздушных линий электропередачи: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0,4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1 - 20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568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57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35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696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3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/>
      </w:r>
    </w:p>
    <w:p>
      <w:pPr>
        <w:pStyle w:val="style0"/>
        <w:jc w:val="right"/>
        <w:ind w:firstLine="698" w:left="0" w:right="0"/>
        <w:pageBreakBefore/>
      </w:pPr>
      <w:bookmarkStart w:id="23" w:name="sub_4729080161"/>
      <w:bookmarkEnd w:id="23"/>
      <w:r>
        <w:rPr>
          <w:color w:val="26282F"/>
          <w:sz w:val="24"/>
          <w:b/>
          <w:bCs/>
        </w:rPr>
        <w:t>Приложение N 8</w:t>
        <w:br/>
        <w:t xml:space="preserve">к </w:t>
      </w:r>
      <w:r>
        <w:rPr>
          <w:rStyle w:val="style15"/>
          <w:color w:val="106BBE"/>
          <w:sz w:val="24"/>
          <w:b w:val="off"/>
          <w:bCs w:val="off"/>
        </w:rPr>
        <w:t>стандартам</w:t>
      </w:r>
      <w:r>
        <w:rPr>
          <w:color w:val="26282F"/>
          <w:sz w:val="24"/>
          <w:b/>
          <w:bCs/>
        </w:rPr>
        <w:t xml:space="preserve"> раскрытия информации</w:t>
        <w:br/>
        <w:t>субъектами оптового и розничных</w:t>
        <w:br/>
        <w:t>рынков электрической энергии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(форма)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ИНФОРМАЦИЯ</w:t>
        <w:br/>
        <w:t>об осуществлении технологического присоединения по договорам, заключенным за текущий год</w:t>
      </w:r>
    </w:p>
    <w:tbl>
      <w:tblPr>
        <w:tblW w:type="dxa" w:w="10425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-155"/>
      </w:tblPr>
      <w:tblGrid>
        <w:gridCol w:w="375"/>
        <w:gridCol w:w="2610"/>
        <w:gridCol w:w="5115"/>
        <w:gridCol w:w="7755"/>
        <w:gridCol w:w="10425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Категория заявителей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gridSpan w:val="3"/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договоров (штук)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gridSpan w:val="3"/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Максимальная мощность (кВт)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3"/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Стоимость договоров (без НДС) (тыс. рублей)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0,4 кВ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1 - 20 кВ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35 кВ и выше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0,4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1 - 20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35 кВ и выше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0,4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1 - 20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35 кВ и выше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24" w:name="sub_8001"/>
            <w:bookmarkEnd w:id="24"/>
            <w:r>
              <w:rPr>
                <w:sz w:val="18"/>
                <w:szCs w:val="18"/>
              </w:rPr>
              <w:t>1.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До 15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23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305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10,72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льготная категория</w:t>
            </w:r>
            <w:r>
              <w:rPr>
                <w:rStyle w:val="style15"/>
                <w:color w:val="106BBE"/>
                <w:sz w:val="24"/>
              </w:rPr>
              <w:t>*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25" w:name="sub_8002"/>
            <w:bookmarkEnd w:id="25"/>
            <w:r>
              <w:rPr>
                <w:sz w:val="18"/>
                <w:szCs w:val="18"/>
              </w:rPr>
              <w:t>2.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 15 до 150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80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45,56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льготная категория</w:t>
            </w:r>
            <w:r>
              <w:rPr>
                <w:rStyle w:val="style15"/>
                <w:color w:val="106BBE"/>
                <w:sz w:val="24"/>
              </w:rPr>
              <w:t>**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26" w:name="sub_8003"/>
            <w:bookmarkEnd w:id="26"/>
            <w:r>
              <w:rPr>
                <w:sz w:val="18"/>
                <w:szCs w:val="18"/>
              </w:rPr>
              <w:t>3.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 150 кВт до 670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639,1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89,00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по индивидуальному проекту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27" w:name="sub_8004"/>
            <w:bookmarkEnd w:id="27"/>
            <w:r>
              <w:rPr>
                <w:sz w:val="18"/>
                <w:szCs w:val="18"/>
              </w:rPr>
              <w:t>4.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 670 кВт до 8900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по индивидуальному проекту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28" w:name="sub_8005"/>
            <w:bookmarkEnd w:id="28"/>
            <w:r>
              <w:rPr>
                <w:sz w:val="18"/>
                <w:szCs w:val="18"/>
              </w:rPr>
              <w:t>5.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 8900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18"/>
                <w:szCs w:val="18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по индивидуальному проекту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3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29" w:name="sub_8006"/>
            <w:bookmarkEnd w:id="29"/>
            <w:r>
              <w:rPr>
                <w:sz w:val="18"/>
                <w:szCs w:val="18"/>
              </w:rPr>
              <w:t>6.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26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Объекты генерации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334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41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11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9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67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75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859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943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gridSpan w:val="11"/>
            <w:shd w:fill="auto"/>
            <w:tcW w:type="dxa" w:w="1042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  <w:ind w:firstLine="720" w:left="0" w:right="0"/>
            </w:pPr>
            <w:r>
              <w:rPr>
                <w:sz w:val="24"/>
              </w:rPr>
              <w:t>* Заявители, оплачивающие технологическое присоединение своих энергопринимающих устройств в размере не более 550 рублей.</w:t>
            </w:r>
          </w:p>
          <w:p>
            <w:pPr>
              <w:pStyle w:val="style0"/>
              <w:jc w:val="both"/>
              <w:ind w:firstLine="720" w:left="0" w:right="0"/>
            </w:pPr>
            <w:r>
              <w:rPr>
                <w:sz w:val="24"/>
                <w:szCs w:val="18"/>
              </w:rPr>
      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</w:p>
        </w:tc>
      </w:tr>
    </w:tbl>
    <w:p>
      <w:pPr>
        <w:pStyle w:val="style0"/>
        <w:jc w:val="right"/>
        <w:ind w:firstLine="698" w:left="0" w:right="0"/>
      </w:pPr>
      <w:bookmarkStart w:id="30" w:name="sub_4736404201"/>
      <w:bookmarkEnd w:id="30"/>
      <w:r>
        <w:rPr>
          <w:color w:val="26282F"/>
          <w:sz w:val="24"/>
          <w:b/>
          <w:bCs/>
        </w:rPr>
        <w:t>Приложение N 9</w:t>
        <w:br/>
        <w:t xml:space="preserve">к </w:t>
      </w:r>
      <w:r>
        <w:rPr>
          <w:rStyle w:val="style15"/>
          <w:color w:val="106BBE"/>
          <w:sz w:val="24"/>
          <w:b w:val="off"/>
          <w:bCs w:val="off"/>
        </w:rPr>
        <w:t>стандартам</w:t>
      </w:r>
      <w:r>
        <w:rPr>
          <w:color w:val="26282F"/>
          <w:sz w:val="24"/>
          <w:b/>
          <w:bCs/>
        </w:rPr>
        <w:t xml:space="preserve"> раскрытия информации</w:t>
        <w:br/>
        <w:t>субъектами оптового и розничных</w:t>
        <w:br/>
        <w:t>рынков электрической энергии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right"/>
        <w:ind w:firstLine="698" w:left="0" w:right="0"/>
      </w:pPr>
      <w:r>
        <w:rPr>
          <w:sz w:val="24"/>
        </w:rPr>
        <w:t>(форма)</w:t>
      </w:r>
    </w:p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ИНФОРМАЦИЯ</w:t>
        <w:br/>
        <w:t>о поданных заявках на технологическое присоединение за текущий год</w:t>
      </w:r>
    </w:p>
    <w:p>
      <w:pPr>
        <w:pStyle w:val="style0"/>
        <w:jc w:val="both"/>
        <w:ind w:firstLine="720" w:left="0" w:right="0"/>
      </w:pPr>
      <w:r>
        <w:rPr/>
      </w:r>
    </w:p>
    <w:tbl>
      <w:tblPr>
        <w:tblW w:type="dxa" w:w="10110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  <w:tblInd w:type="dxa" w:w="-108"/>
      </w:tblPr>
      <w:tblGrid>
        <w:gridCol w:w="1920"/>
        <w:gridCol w:w="5865"/>
        <w:gridCol w:w="9502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vMerge w:val="restart"/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Категория заявителей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gridSpan w:val="3"/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Количество заявок (штук)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3"/>
            <w:shd w:fill="auto"/>
            <w:tcW w:type="dxa" w:w="950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Максимальная мощность (кВт)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vMerge w:val="continue"/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0,4 кВ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1 - 20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 кВ и выше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0,4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1 - 20 кВ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502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35 кВ и выше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До 15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585,9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</w:t>
            </w:r>
          </w:p>
          <w:p>
            <w:pPr>
              <w:pStyle w:val="style0"/>
            </w:pPr>
            <w:r>
              <w:rPr>
                <w:sz w:val="24"/>
              </w:rPr>
              <w:t>льготная категория</w:t>
            </w:r>
            <w:r>
              <w:rPr>
                <w:rStyle w:val="style15"/>
                <w:color w:val="106BBE"/>
                <w:sz w:val="24"/>
              </w:rPr>
              <w:t>*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 15 до 150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793,8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</w:t>
            </w:r>
          </w:p>
          <w:p>
            <w:pPr>
              <w:pStyle w:val="style0"/>
            </w:pPr>
            <w:r>
              <w:rPr>
                <w:sz w:val="24"/>
              </w:rPr>
              <w:t>льготная категория</w:t>
            </w:r>
            <w:r>
              <w:rPr>
                <w:rStyle w:val="style15"/>
                <w:color w:val="106BBE"/>
                <w:sz w:val="24"/>
              </w:rPr>
              <w:t>**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 150 кВт до 670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-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</w:t>
            </w:r>
          </w:p>
          <w:p>
            <w:pPr>
              <w:pStyle w:val="style0"/>
            </w:pPr>
            <w:r>
              <w:rPr>
                <w:sz w:val="24"/>
              </w:rPr>
              <w:t>по индивидуальному проекту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 670 кВт до 8900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 по индивидуальному проекту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От 8900 кВт - всего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в том числе по индивидуальному проекту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192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Объекты генерации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318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50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86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727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8685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10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  <w:ind w:firstLine="720" w:left="0" w:right="0"/>
      </w:pPr>
      <w:r>
        <w:rPr/>
      </w:r>
    </w:p>
    <w:p>
      <w:pPr>
        <w:pStyle w:val="style0"/>
      </w:pPr>
      <w:r>
        <w:rPr>
          <w:sz w:val="24"/>
        </w:rPr>
        <w:t>______________________________</w:t>
      </w:r>
    </w:p>
    <w:p>
      <w:pPr>
        <w:pStyle w:val="style0"/>
        <w:jc w:val="both"/>
        <w:ind w:firstLine="720" w:left="0" w:right="0"/>
      </w:pPr>
      <w:bookmarkStart w:id="31" w:name="sub_991"/>
      <w:bookmarkEnd w:id="31"/>
      <w:r>
        <w:rPr>
          <w:sz w:val="24"/>
        </w:rPr>
        <w:t>* Заявители, оплачивающие технологическое присоединение своих энергопринимающих устройств в размере не более 550 рублей..</w:t>
      </w:r>
    </w:p>
    <w:p>
      <w:pPr>
        <w:pStyle w:val="style0"/>
        <w:jc w:val="both"/>
        <w:ind w:firstLine="720" w:left="0" w:right="0"/>
      </w:pPr>
      <w:bookmarkStart w:id="32" w:name="sub_992"/>
      <w:bookmarkStart w:id="33" w:name="sub_9911"/>
      <w:bookmarkEnd w:id="32"/>
      <w:bookmarkEnd w:id="33"/>
      <w:r>
        <w:rPr>
          <w:sz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>
      <w:pPr>
        <w:pStyle w:val="style0"/>
        <w:jc w:val="both"/>
        <w:ind w:firstLine="720" w:left="0" w:right="0"/>
      </w:pPr>
      <w:bookmarkStart w:id="34" w:name="sub_9921"/>
      <w:bookmarkStart w:id="35" w:name="sub_9921"/>
      <w:bookmarkEnd w:id="35"/>
      <w:r>
        <w:rPr/>
      </w:r>
    </w:p>
    <w:p>
      <w:pPr>
        <w:pStyle w:val="style0"/>
        <w:jc w:val="both"/>
        <w:ind w:firstLine="720" w:left="0" w:right="0"/>
      </w:pPr>
      <w:r>
        <w:rPr/>
      </w:r>
    </w:p>
    <w:sectPr>
      <w:formProt w:val="off"/>
      <w:pgSz w:h="16798" w:w="11906"/>
      <w:docGrid w:charSpace="8192" w:linePitch="240" w:type="default"/>
      <w:textDirection w:val="lrTb"/>
      <w:pgNumType w:fmt="decimal"/>
      <w:type w:val="nextPage"/>
      <w:pgMar w:bottom="1440" w:left="1100" w:right="800" w:top="144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</w:pPr>
    <w:rPr>
      <w:color w:val="00000A"/>
      <w:sz w:val="20"/>
      <w:szCs w:val="24"/>
      <w:rFonts w:ascii="Arial" w:cs="Arial" w:eastAsia="Arial" w:hAnsi="Arial"/>
      <w:lang w:bidi="ru-RU" w:eastAsia="ru-RU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  <w:style w:styleId="style23" w:type="paragraph">
    <w:name w:val="Заголовок таблицы"/>
    <w:basedOn w:val="style22"/>
    <w:next w:val="style23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129430.16" TargetMode="External"/><Relationship Id="rId3" Type="http://schemas.openxmlformats.org/officeDocument/2006/relationships/hyperlink" Target="garantf1://70129430.162" TargetMode="External"/><Relationship Id="rId4" Type="http://schemas.openxmlformats.org/officeDocument/2006/relationships/hyperlink" Target="garantf1://70129430.163" TargetMode="External"/><Relationship Id="rId5" Type="http://schemas.openxmlformats.org/officeDocument/2006/relationships/hyperlink" Target="garantf1://70129430.1100" TargetMode="External"/><Relationship Id="rId6" Type="http://schemas.openxmlformats.org/officeDocument/2006/relationships/hyperlink" Target="garantf1://70129430.1100" TargetMode="External"/><Relationship Id="rId7" Type="http://schemas.openxmlformats.org/officeDocument/2006/relationships/hyperlink" Target="garantf1://70129430.1100" TargetMode="External"/><Relationship Id="rId8" Type="http://schemas.openxmlformats.org/officeDocument/2006/relationships/hyperlink" Target="garantf1://70129430.1100" TargetMode="Externa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ÍÏÏ "Ãàðàíò-Ñåðâèñ"</dc:creator>
  <dc:description>Äîêóìåíò ýêñïîðòèðîâàí èç ñèñòåìû ÃÀÐÀÍÒ</dc:description>
  <cp:revision>0</cp:revision>
  <dc:title>Îãëàâëåíèå</dc:title>
</cp:coreProperties>
</file>