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32"/>
          <w:b/>
          <w:szCs w:val="32"/>
        </w:rPr>
        <w:t xml:space="preserve">          </w:t>
      </w:r>
      <w:r>
        <w:rPr>
          <w:sz w:val="32"/>
          <w:b/>
          <w:szCs w:val="32"/>
        </w:rPr>
        <w:t>Требования к организации учета электроэнергии</w:t>
      </w:r>
    </w:p>
    <w:p>
      <w:pPr>
        <w:pStyle w:val="style0"/>
      </w:pPr>
      <w:r>
        <w:rPr/>
        <w:t xml:space="preserve">              </w:t>
      </w:r>
      <w:r>
        <w:rPr/>
        <w:t>ТРЕБОВАНИЯ К ПРИБОРАМ УЧЕТА ЭЛЕКТРОЭНЕРГИИ</w:t>
      </w:r>
    </w:p>
    <w:p>
      <w:pPr>
        <w:pStyle w:val="style0"/>
      </w:pPr>
      <w:r>
        <w:rPr/>
        <w:t xml:space="preserve">             </w:t>
      </w:r>
      <w:r>
        <w:rPr/>
        <w:t xml:space="preserve">Под измерительным комплексом учета электроэнергии понимается совокупность прибора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 </w:t>
      </w:r>
    </w:p>
    <w:p>
      <w:pPr>
        <w:pStyle w:val="style0"/>
      </w:pPr>
      <w:r>
        <w:rPr/>
        <w:t xml:space="preserve">            </w:t>
      </w:r>
      <w:r>
        <w:rPr/>
        <w:t>Приборы учета, показания которых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Правилах организации учета электрической энергии на розничных рынках (раздел Х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года № 442) требованиям, в том числе по их классу точности, быть допущенными в эксплуатацию, иметь неповрежденные контрольные пломбы и (или) знаки визуального контроля.</w:t>
      </w:r>
    </w:p>
    <w:p>
      <w:pPr>
        <w:pStyle w:val="style0"/>
      </w:pPr>
      <w:r>
        <w:rPr/>
        <w:t xml:space="preserve">           </w:t>
      </w:r>
      <w:r>
        <w:rPr/>
        <w:t>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pPr>
        <w:pStyle w:val="style0"/>
      </w:pPr>
      <w:r>
        <w:rPr/>
        <w:t xml:space="preserve">            </w:t>
      </w:r>
      <w:r>
        <w:rPr/>
        <w:t>В многоквартирных домах,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pPr>
        <w:pStyle w:val="style0"/>
      </w:pPr>
      <w:r>
        <w:rPr/>
        <w:t xml:space="preserve">            </w:t>
      </w:r>
      <w:r>
        <w:rPr/>
        <w:t>Для учета электрической энергии, потребляемой прочими потребителями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pPr>
        <w:pStyle w:val="style0"/>
      </w:pPr>
      <w:r>
        <w:rPr/>
        <w:t xml:space="preserve">             </w:t>
      </w:r>
      <w:r>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pPr>
        <w:pStyle w:val="style0"/>
      </w:pPr>
      <w:r>
        <w:rPr/>
        <w:t xml:space="preserve">            </w:t>
      </w:r>
      <w:r>
        <w:rPr/>
        <w:t>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Правилами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pPr>
        <w:pStyle w:val="style0"/>
      </w:pPr>
      <w:r>
        <w:rPr/>
        <w:t xml:space="preserve">           </w:t>
      </w:r>
      <w:r>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pPr>
        <w:pStyle w:val="style0"/>
      </w:pPr>
      <w:r>
        <w:rPr/>
        <w:t xml:space="preserve">            </w:t>
      </w:r>
      <w:r>
        <w:rPr/>
        <w:t>Используемые приборы учета (измерительные трансформаторы) класса точности ниже, чем указано, и (или) обеспечивающие хранение данных о почасовых объемах потребления электрической энергии меньшее количество дней, чем указано,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выше.</w:t>
      </w:r>
    </w:p>
    <w:p>
      <w:pPr>
        <w:pStyle w:val="style0"/>
      </w:pPr>
      <w:r>
        <w:rPr/>
        <w:t xml:space="preserve">           </w:t>
      </w:r>
      <w:r>
        <w:rPr/>
        <w:t xml:space="preserve">Приборы учета класса точности ниже, чем указано, используемые гражданами,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w:t>
      </w:r>
    </w:p>
    <w:p>
      <w:pPr>
        <w:pStyle w:val="style0"/>
      </w:pPr>
      <w:r>
        <w:rPr/>
        <w:t xml:space="preserve">             </w:t>
      </w:r>
      <w:r>
        <w:rPr/>
        <w:t>Межповерочные интервалы и класс точности приборов учета и измерительных трансформаторах указываются в паспортах на данные приборы.</w:t>
      </w:r>
    </w:p>
    <w:p>
      <w:pPr>
        <w:pStyle w:val="style0"/>
      </w:pPr>
      <w:r>
        <w:rPr/>
      </w:r>
    </w:p>
    <w:p>
      <w:pPr>
        <w:pStyle w:val="style0"/>
      </w:pPr>
      <w:r>
        <w:rPr/>
        <w:t xml:space="preserve">              </w:t>
      </w:r>
      <w:r>
        <w:rPr/>
        <w:t>ТРЕБОВАНИЯ К УСТАНОВКЕ ПРИБОРА УЧЕТА ЭЛЕКТРОЭНЕРГИИ</w:t>
      </w:r>
    </w:p>
    <w:p>
      <w:pPr>
        <w:pStyle w:val="style0"/>
        <w:jc w:val="both"/>
        <w:ind w:firstLine="720" w:left="0" w:right="0"/>
        <w:spacing w:after="0" w:before="0" w:line="100" w:lineRule="atLeast"/>
      </w:pPr>
      <w:r>
        <w:rPr/>
        <w:t xml:space="preserve">Приборы учета подлежат установке на границах балансовой принадлежности объектов электроэнергетики  смежных субъектов розничного рынка - потребителей,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Правилами организации учета электрической энергии на розничных рынках (раздел Х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года № 442) с соблюдением установленных законодательством Российской Федерации требований к местам установки приборов </w:t>
      </w:r>
      <w:r>
        <w:rPr>
          <w:rFonts w:ascii="Cambria" w:hAnsi="Cambria"/>
        </w:rPr>
        <w:t xml:space="preserve">учета. </w:t>
      </w:r>
      <w:r>
        <w:rPr>
          <w:rFonts w:cs="Calibri"/>
        </w:rPr>
        <w:t>Под границей раздела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w:t>
      </w:r>
    </w:p>
    <w:p>
      <w:pPr>
        <w:pStyle w:val="style0"/>
      </w:pPr>
      <w:r>
        <w:rPr/>
        <w:t xml:space="preserve">            </w:t>
      </w:r>
      <w:r>
        <w:rPr/>
        <w:t>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pPr>
        <w:pStyle w:val="style0"/>
      </w:pPr>
      <w:r>
        <w:rPr/>
        <w:t xml:space="preserve">              </w:t>
      </w:r>
      <w:r>
        <w:rPr/>
        <w:t>Приборы учета должны размещаться в легко доступных для обслуживания сухих помещениях, в достаточно свободном и не стесненном для работы месте с температурой в зимнее время не ниже 0 град. C.</w:t>
      </w:r>
    </w:p>
    <w:p>
      <w:pPr>
        <w:pStyle w:val="style0"/>
      </w:pPr>
      <w:r>
        <w:rPr/>
        <w:t xml:space="preserve">             </w:t>
      </w:r>
      <w:r>
        <w:rPr/>
        <w:t>Приборы учета общепромышленного исполнения не разрешается устанавливать в помещениях, где по производственным условиям температура может часто превышать +40 град. C, а также в помещениях с агрессивными средами.</w:t>
      </w:r>
    </w:p>
    <w:p>
      <w:pPr>
        <w:pStyle w:val="style0"/>
      </w:pPr>
      <w:r>
        <w:rPr/>
        <w:t xml:space="preserve">             </w:t>
      </w:r>
      <w:r>
        <w:rPr/>
        <w:t>Допускается размещение приборов учета в неотапливаемых помещениях и коридорах распределительных устройств электростанций и подстанций, а также в шкафах наружной установки. При этом должно быть предусмотрено стационарное их утепление на зимнее время посредством утепляющих шкафов, колпаков с подогревом воздуха внутри них электрической лампой или нагревательным элементом для обеспечения внутри колпака положительной температуры, но не выше +20 град. C.</w:t>
      </w:r>
    </w:p>
    <w:p>
      <w:pPr>
        <w:pStyle w:val="style0"/>
      </w:pPr>
      <w:r>
        <w:rPr/>
        <w:t xml:space="preserve">             </w:t>
      </w:r>
      <w:r>
        <w:rPr/>
        <w:t>Приборы учета должны устанавливаться в шкафах, камерах комплектных распределительных устройствах (КРУ, КРУН), на панелях, щитах, в нишах, на стенах, имеющих жесткую конструкцию.</w:t>
      </w:r>
    </w:p>
    <w:p>
      <w:pPr>
        <w:pStyle w:val="style0"/>
      </w:pPr>
      <w:r>
        <w:rPr/>
        <w:t xml:space="preserve">             </w:t>
      </w:r>
      <w:r>
        <w:rPr/>
        <w:t>Допускается крепление приборов учета на деревянных, пластмассовых или металлических щитках.</w:t>
      </w:r>
    </w:p>
    <w:p>
      <w:pPr>
        <w:pStyle w:val="style0"/>
      </w:pPr>
      <w:r>
        <w:rPr/>
        <w:t xml:space="preserve">            </w:t>
      </w:r>
      <w:r>
        <w:rPr/>
        <w:t>Высота от пола до коробки зажимов приборов учета должна быть в пределах 0,8 - 1,7 м. Допускается высота менее 0,8 м, но не менее 0,4 м.</w:t>
      </w:r>
    </w:p>
    <w:p>
      <w:pPr>
        <w:pStyle w:val="style0"/>
      </w:pPr>
      <w:r>
        <w:rPr/>
        <w:t xml:space="preserve">            </w:t>
      </w:r>
      <w:r>
        <w:rPr/>
        <w:t>В местах, где имеется опасность механических повреждений приборов учета или их загрязнения, или в местах, доступных для посторонних лиц (проходы, лестничные клетки и т.п.), для прибора учета должен предусматриваться запирающийся шкаф с окошком на уровне циферблата. Аналогичные шкафы должны устанавливаться также для совместного размещения приборов учета и трансформаторов тока при выполнении учета на стороне низшего напряжения (на вводе у потребителей).</w:t>
      </w:r>
    </w:p>
    <w:p>
      <w:pPr>
        <w:pStyle w:val="style0"/>
      </w:pPr>
      <w:r>
        <w:rPr/>
        <w:t xml:space="preserve">             </w:t>
      </w:r>
      <w:r>
        <w:rPr/>
        <w:t>Конструкции и размеры шкафов, ниш, щитков и т.п. должны обеспечивать удобный доступ к зажимам приборов учета и трансформаторов тока. Кроме того, должна быть обеспечена возможность удобной замены прибора учета и установки его с уклоном не более 1 град. Конструкция его крепления должна обеспечивать возможность установки и съема прибора учета с лицевой стороны.</w:t>
      </w:r>
    </w:p>
    <w:p>
      <w:pPr>
        <w:pStyle w:val="style0"/>
      </w:pPr>
      <w:r>
        <w:rPr/>
        <w:t xml:space="preserve">           </w:t>
      </w:r>
      <w:r>
        <w:rPr/>
        <w:t>Для безопасной установки и замены приборов учета в сетях напряжением до 380 В должна предусматриваться возможность отключения прибора учета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прибору учета.</w:t>
      </w:r>
    </w:p>
    <w:p>
      <w:pPr>
        <w:pStyle w:val="style0"/>
      </w:pPr>
      <w:r>
        <w:rPr/>
        <w:t xml:space="preserve">           </w:t>
      </w:r>
      <w:r>
        <w:rPr/>
        <w:t>Трансформаторы тока, используемые для присоединения приборов учета на напряжении до 380 В, должны устанавливаться после коммутационных аппаратов по направлению потока мощности.</w:t>
      </w:r>
    </w:p>
    <w:p>
      <w:pPr>
        <w:pStyle w:val="style0"/>
      </w:pPr>
      <w:r>
        <w:rPr/>
        <w:t xml:space="preserve">             </w:t>
      </w:r>
      <w:r>
        <w:rPr/>
        <w:t>При наличии на объекте нескольких присоединений с отдельным учетом электроэнергии на панелях приборов учета должны быть надписи наименований присоединений.</w:t>
      </w:r>
    </w:p>
    <w:p>
      <w:pPr>
        <w:pStyle w:val="style0"/>
      </w:pPr>
      <w:r>
        <w:rPr/>
      </w:r>
    </w:p>
    <w:p>
      <w:pPr>
        <w:pStyle w:val="style0"/>
      </w:pPr>
      <w:r>
        <w:rPr/>
        <w:t xml:space="preserve">              </w:t>
      </w:r>
      <w:bookmarkStart w:id="0" w:name="_GoBack"/>
      <w:bookmarkEnd w:id="0"/>
      <w:r>
        <w:rPr/>
      </w:r>
      <w:bookmarkStart w:id="1" w:name="_GoBack"/>
      <w:bookmarkEnd w:id="1"/>
      <w:r>
        <w:rPr/>
        <w:t>ОПРЕДЕЛЕНИЕ ОБЪЕМА ПОТРЕБЛЕННОЙ ЭЛЕКТРОЭНЕРГИИ (МОЩНОСТИ)</w:t>
      </w:r>
    </w:p>
    <w:p>
      <w:pPr>
        <w:pStyle w:val="style0"/>
      </w:pPr>
      <w:r>
        <w:rPr/>
        <w:t xml:space="preserve">              </w:t>
      </w:r>
      <w:r>
        <w:rPr/>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 с использованием приборов учета электрической энергии, в том числе включенных в состав измерительных комплексов, систем учета, а при их отсутствии с использованием расчетных способов, предусмотренных нормативными документами.</w:t>
      </w:r>
    </w:p>
    <w:p>
      <w:pPr>
        <w:pStyle w:val="style0"/>
        <w:jc w:val="both"/>
        <w:ind w:firstLine="720" w:left="0" w:right="0"/>
        <w:spacing w:after="0" w:before="0" w:line="100" w:lineRule="atLeast"/>
      </w:pPr>
      <w:r>
        <w:rPr>
          <w:rFonts w:cs="Calibri"/>
        </w:rPr>
        <w:t>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w:t>
      </w:r>
    </w:p>
    <w:p>
      <w:pPr>
        <w:pStyle w:val="style0"/>
        <w:jc w:val="both"/>
        <w:ind w:firstLine="720" w:left="0" w:right="0"/>
        <w:spacing w:after="0" w:before="0" w:line="100" w:lineRule="atLeast"/>
      </w:pPr>
      <w:r>
        <w:rPr>
          <w:rFonts w:cs="Calibri"/>
        </w:rPr>
        <w:t xml:space="preserve">Если иное не установлено в договоре </w:t>
      </w:r>
      <w:r>
        <w:rPr>
          <w:b/>
          <w:rFonts w:cs="Calibri"/>
        </w:rPr>
        <w:t>собственник энергопринимающих устройств</w:t>
      </w:r>
      <w:r>
        <w:rPr>
          <w:rFonts w:cs="Calibri"/>
        </w:rPr>
        <w:t xml:space="preserve"> (объектов электросетевого хозяйства) </w:t>
      </w:r>
      <w:r>
        <w:rPr>
          <w:b/>
          <w:rFonts w:cs="Calibri"/>
        </w:rPr>
        <w:t>обеспечивают снятие показаний</w:t>
      </w:r>
      <w:r>
        <w:rPr>
          <w:rFonts w:cs="Calibri"/>
        </w:rPr>
        <w:t xml:space="preserve"> такого </w:t>
      </w:r>
      <w:r>
        <w:rPr>
          <w:b/>
          <w:rFonts w:cs="Calibri"/>
        </w:rPr>
        <w:t>прибора учета</w:t>
      </w:r>
      <w:r>
        <w:rPr>
          <w:rFonts w:cs="Calibri"/>
        </w:rPr>
        <w:t xml:space="preserve"> </w:t>
      </w:r>
      <w:r>
        <w:rPr>
          <w:b/>
          <w:rFonts w:cs="Calibri"/>
        </w:rPr>
        <w:t>и предоставление его показаний другой стороне</w:t>
      </w:r>
      <w:r>
        <w:rPr>
          <w:rFonts w:cs="Calibri"/>
        </w:rPr>
        <w:t>.</w:t>
      </w:r>
    </w:p>
    <w:p>
      <w:pPr>
        <w:pStyle w:val="style0"/>
        <w:jc w:val="both"/>
        <w:ind w:firstLine="720" w:left="0" w:right="0"/>
        <w:spacing w:after="0" w:before="0" w:line="100" w:lineRule="atLeast"/>
      </w:pPr>
      <w:r>
        <w:rPr>
          <w:rFonts w:cs="Calibri"/>
        </w:rPr>
        <w:t>Если иные время и дата снятия показаний расчетных приборов учета не установлены договором,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w:t>
      </w:r>
    </w:p>
    <w:p>
      <w:pPr>
        <w:pStyle w:val="style0"/>
        <w:jc w:val="both"/>
        <w:ind w:firstLine="720" w:left="0" w:right="0"/>
        <w:spacing w:after="0" w:before="0" w:line="100" w:lineRule="atLeast"/>
      </w:pPr>
      <w:bookmarkStart w:id="2" w:name="sub_41892"/>
      <w:bookmarkEnd w:id="2"/>
      <w:r>
        <w:rPr>
          <w:rFonts w:cs="Calibri"/>
        </w:rPr>
        <w:t>Если иные время и дата сообщения снятых показаний расчетных приборов учета не установлены договором, то показания расчетных приборов учета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заключения (расторжения) договора, а также в письменной форме в виде акта снятия показаний расчетных приборов учета в течение 3 рабочих дней.</w:t>
      </w:r>
    </w:p>
    <w:p>
      <w:pPr>
        <w:pStyle w:val="style0"/>
        <w:jc w:val="both"/>
        <w:ind w:firstLine="720" w:left="0" w:right="0"/>
        <w:spacing w:after="0" w:before="0" w:line="100" w:lineRule="atLeast"/>
      </w:pPr>
      <w:bookmarkStart w:id="3" w:name="sub_41892"/>
      <w:bookmarkEnd w:id="3"/>
      <w:r>
        <w:rPr>
          <w:rFonts w:cs="Calibri"/>
        </w:rPr>
        <w:t>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с 23-го по 25-е число текущего месяца.</w:t>
      </w:r>
    </w:p>
    <w:p>
      <w:pPr>
        <w:pStyle w:val="style0"/>
        <w:jc w:val="both"/>
        <w:ind w:firstLine="720" w:left="0" w:right="0"/>
        <w:spacing w:after="0" w:before="0" w:line="100" w:lineRule="atLeast"/>
      </w:pPr>
      <w:r>
        <w:rPr/>
      </w:r>
    </w:p>
    <w:p>
      <w:pPr>
        <w:pStyle w:val="style0"/>
      </w:pPr>
      <w:r>
        <w:rPr/>
        <w:t xml:space="preserve">             </w:t>
      </w:r>
      <w:r>
        <w:rPr/>
        <w:t>Форма представления показаний расчетных приборов учета должна соответствовать типам приборов учета, которыми в соответствии с настоящим разделом оборудуются точки поставки на розничном рынке.</w:t>
      </w:r>
    </w:p>
    <w:p>
      <w:pPr>
        <w:pStyle w:val="style0"/>
      </w:pPr>
      <w:r>
        <w:rPr/>
        <w:t xml:space="preserve">           </w:t>
      </w:r>
      <w:r>
        <w:rPr/>
        <w:t>Сетевые организации вправе проводить проверки соблюдения потребителями условий заключенных договоров, определяющих порядок учета поставляемой электрической энергии, а также наличия у потребителей оснований для потребления электрической энергии.</w:t>
      </w:r>
    </w:p>
    <w:p>
      <w:pPr>
        <w:pStyle w:val="style0"/>
      </w:pPr>
      <w:r>
        <w:rPr/>
        <w:t xml:space="preserve">          </w:t>
      </w:r>
      <w:r>
        <w:rPr/>
        <w:t>Смежные сетевые организации, иные законные владельцы электрических сетей, потребители и производители электрической энергии также должны обеспечивать беспрепятственный доступ представителей сетевой организации к приборам учета, расположенным в границах балансовой принадлежности их электрических сетей, для целей осуществления проверки состояния таких приборов учета и снятия проверочных (контрольных) показаний.</w:t>
      </w:r>
    </w:p>
    <w:sectPr>
      <w:formProt w:val="off"/>
      <w:pgSz w:h="16838" w:w="11906"/>
      <w:docGrid w:charSpace="4096" w:linePitch="240" w:type="default"/>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Calibri">
    <w:charset w:val="cc"/>
    <w:family w:val="auto"/>
    <w:pitch w:val="default"/>
  </w:font>
</w:fonts>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auto"/>
      <w:sz w:val="22"/>
      <w:szCs w:val="22"/>
      <w:rFonts w:ascii="Calibri" w:cs="" w:eastAsia="Arial Unicode MS" w:hAnsi="Calibri"/>
      <w:lang w:bidi="ar-SA" w:eastAsia="en-US" w:val="ru-RU"/>
    </w:rPr>
  </w:style>
  <w:style w:styleId="style15" w:type="character">
    <w:name w:val="Default Paragraph Font"/>
    <w:next w:val="style15"/>
    <w:rPr/>
  </w:style>
  <w:style w:styleId="style16" w:type="character">
    <w:name w:val="Гипертекстовая ссылка"/>
    <w:basedOn w:val="style15"/>
    <w:next w:val="style16"/>
    <w:rPr/>
  </w:style>
  <w:style w:styleId="style17" w:type="paragraph">
    <w:name w:val="Заголовок"/>
    <w:basedOn w:val="style0"/>
    <w:next w:val="style18"/>
    <w:pPr>
      <w:keepNext/>
      <w:spacing w:after="120" w:before="240"/>
    </w:pPr>
    <w:rPr>
      <w:sz w:val="28"/>
      <w:szCs w:val="28"/>
      <w:rFonts w:ascii="Arial" w:cs="Mangal" w:eastAsia="Arial Unicode MS" w:hAnsi="Arial"/>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ascii="Arial" w:cs="Mangal" w:hAnsi="Arial"/>
    </w:rPr>
  </w:style>
  <w:style w:styleId="style20" w:type="paragraph">
    <w:name w:val="Название"/>
    <w:basedOn w:val="style0"/>
    <w:next w:val="style20"/>
    <w:pPr>
      <w:suppressLineNumbers/>
      <w:spacing w:after="120" w:before="120"/>
    </w:pPr>
    <w:rPr>
      <w:sz w:val="20"/>
      <w:i/>
      <w:szCs w:val="24"/>
      <w:iCs/>
      <w:rFonts w:ascii="Arial" w:cs="Mangal" w:hAnsi="Arial"/>
    </w:rPr>
  </w:style>
  <w:style w:styleId="style21" w:type="paragraph">
    <w:name w:val="Указатель"/>
    <w:basedOn w:val="style0"/>
    <w:next w:val="style21"/>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317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2016-03-09T06:49:00.00Z</dcterms:created>
  <dc:creator>GES</dc:creator>
  <cp:lastModifiedBy>GES</cp:lastModifiedBy>
  <dcterms:modified xsi:type="dcterms:W3CDTF">2016-03-09T12:06:00.00Z</dcterms:modified>
  <cp:revision>8</cp:revision>
</cp:coreProperties>
</file>